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008E" w:rsidRPr="00BF008E" w:rsidRDefault="00BF008E" w:rsidP="00BF008E">
      <w:pPr>
        <w:tabs>
          <w:tab w:val="left" w:pos="2160"/>
        </w:tabs>
        <w:rPr>
          <w:rFonts w:ascii="Arial" w:hAnsi="Arial" w:cs="Arial"/>
          <w:b/>
          <w:bCs/>
          <w:sz w:val="24"/>
          <w:szCs w:val="24"/>
          <w:lang w:val="en-US"/>
        </w:rPr>
      </w:pPr>
      <w:bookmarkStart w:id="0" w:name="_Hlk3548187"/>
      <w:r w:rsidRPr="00BF008E">
        <w:rPr>
          <w:rFonts w:ascii="Arial" w:hAnsi="Arial" w:cs="Arial"/>
          <w:b/>
          <w:bCs/>
          <w:sz w:val="24"/>
          <w:szCs w:val="24"/>
          <w:lang w:val="en-US"/>
        </w:rPr>
        <w:t>3GPP TSG-RAN WG4 Meeting #108</w:t>
      </w:r>
      <w:r w:rsidRPr="00BF008E">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904330" w:rsidRPr="00904330">
        <w:rPr>
          <w:rFonts w:ascii="Arial" w:hAnsi="Arial" w:cs="Arial"/>
          <w:b/>
          <w:bCs/>
          <w:sz w:val="24"/>
          <w:szCs w:val="24"/>
          <w:lang w:val="en-US"/>
        </w:rPr>
        <w:t>R4-2313002</w:t>
      </w:r>
    </w:p>
    <w:p w:rsidR="003A046D" w:rsidRDefault="00BF008E" w:rsidP="00BF008E">
      <w:pPr>
        <w:tabs>
          <w:tab w:val="left" w:pos="2160"/>
        </w:tabs>
        <w:rPr>
          <w:rFonts w:ascii="Arial" w:hAnsi="Arial" w:cs="Arial"/>
          <w:b/>
          <w:bCs/>
          <w:sz w:val="24"/>
          <w:szCs w:val="24"/>
          <w:lang w:val="en-US"/>
        </w:rPr>
      </w:pPr>
      <w:r w:rsidRPr="00BF008E">
        <w:rPr>
          <w:rFonts w:ascii="Arial" w:hAnsi="Arial" w:cs="Arial"/>
          <w:b/>
          <w:bCs/>
          <w:sz w:val="24"/>
          <w:szCs w:val="24"/>
          <w:lang w:val="en-US"/>
        </w:rPr>
        <w:t>Toulouse, France, August 21 – August 25, 202</w:t>
      </w:r>
      <w:r w:rsidR="00986414">
        <w:rPr>
          <w:rFonts w:ascii="Arial" w:hAnsi="Arial" w:cs="Arial"/>
          <w:b/>
          <w:bCs/>
          <w:sz w:val="24"/>
          <w:szCs w:val="24"/>
          <w:lang w:val="en-US"/>
        </w:rPr>
        <w:t>3</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sidR="00CA24BD">
        <w:rPr>
          <w:rFonts w:ascii="Arial" w:hAnsi="Arial" w:cs="Arial"/>
          <w:b/>
          <w:bCs/>
          <w:sz w:val="24"/>
          <w:szCs w:val="24"/>
          <w:lang w:val="en-US"/>
        </w:rPr>
        <w:t>7.3</w:t>
      </w:r>
      <w:r w:rsidR="0011093B">
        <w:rPr>
          <w:rFonts w:ascii="Arial" w:hAnsi="Arial" w:cs="Arial"/>
          <w:b/>
          <w:bCs/>
          <w:sz w:val="24"/>
          <w:szCs w:val="24"/>
          <w:lang w:val="en-US"/>
        </w:rPr>
        <w:t>1.3</w:t>
      </w:r>
      <w:bookmarkStart w:id="1" w:name="_GoBack"/>
      <w:bookmarkEnd w:id="1"/>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 xml:space="preserve">Title: </w:t>
      </w:r>
      <w:r>
        <w:rPr>
          <w:rFonts w:ascii="Arial" w:hAnsi="Arial" w:cs="Arial"/>
          <w:b/>
          <w:bCs/>
          <w:sz w:val="24"/>
          <w:szCs w:val="24"/>
          <w:lang w:val="en-US"/>
        </w:rPr>
        <w:tab/>
        <w:t>on</w:t>
      </w:r>
      <w:r w:rsidR="00AD6894">
        <w:rPr>
          <w:rFonts w:ascii="Arial" w:hAnsi="Arial" w:cs="Arial"/>
          <w:b/>
          <w:bCs/>
          <w:sz w:val="24"/>
          <w:szCs w:val="24"/>
          <w:lang w:val="en-US"/>
        </w:rPr>
        <w:t xml:space="preserve"> </w:t>
      </w:r>
      <w:r w:rsidR="001D702C">
        <w:rPr>
          <w:rFonts w:ascii="Arial" w:hAnsi="Arial" w:cs="Arial"/>
          <w:b/>
          <w:bCs/>
          <w:sz w:val="24"/>
          <w:szCs w:val="24"/>
          <w:lang w:val="en-US"/>
        </w:rPr>
        <w:t>NTN L</w:t>
      </w:r>
      <w:r w:rsidR="0035103F">
        <w:rPr>
          <w:rFonts w:ascii="Arial" w:hAnsi="Arial" w:cs="Arial"/>
          <w:b/>
          <w:bCs/>
          <w:sz w:val="24"/>
          <w:szCs w:val="24"/>
          <w:lang w:val="en-US"/>
        </w:rPr>
        <w:t>/</w:t>
      </w:r>
      <w:r w:rsidR="001D702C">
        <w:rPr>
          <w:rFonts w:ascii="Arial" w:hAnsi="Arial" w:cs="Arial"/>
          <w:b/>
          <w:bCs/>
          <w:sz w:val="24"/>
          <w:szCs w:val="24"/>
          <w:lang w:val="en-US"/>
        </w:rPr>
        <w:t>S band</w:t>
      </w:r>
    </w:p>
    <w:p w:rsidR="003A046D" w:rsidRDefault="00986414">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Approval</w:t>
      </w:r>
    </w:p>
    <w:bookmarkEnd w:id="0"/>
    <w:p w:rsidR="003A046D" w:rsidRDefault="00986414">
      <w:pPr>
        <w:pStyle w:val="1"/>
        <w:numPr>
          <w:ilvl w:val="0"/>
          <w:numId w:val="2"/>
        </w:numPr>
      </w:pPr>
      <w:r>
        <w:t>Introduction</w:t>
      </w:r>
    </w:p>
    <w:p w:rsidR="00FF799D" w:rsidRPr="00FF799D" w:rsidRDefault="00D87C2F" w:rsidP="00374460">
      <w:pPr>
        <w:ind w:left="48"/>
        <w:jc w:val="both"/>
        <w:rPr>
          <w:rFonts w:eastAsiaTheme="minorEastAsia"/>
          <w:lang w:eastAsia="zh-CN"/>
        </w:rPr>
      </w:pPr>
      <w:r>
        <w:rPr>
          <w:rFonts w:asciiTheme="minorEastAsia" w:eastAsiaTheme="minorEastAsia" w:hAnsiTheme="minorEastAsia" w:hint="eastAsia"/>
          <w:lang w:eastAsia="zh-CN"/>
        </w:rPr>
        <w:t>D</w:t>
      </w:r>
      <w:r>
        <w:t>uring the RAN</w:t>
      </w:r>
      <w:r w:rsidR="0035103F">
        <w:t xml:space="preserve">4#107 meeting, the NTN L/S band has been discussed and a WF [1] was agreed. </w:t>
      </w:r>
      <w:r w:rsidR="00374460">
        <w:rPr>
          <w:rFonts w:eastAsiaTheme="minorEastAsia" w:hint="eastAsia"/>
          <w:lang w:eastAsia="zh-CN"/>
        </w:rPr>
        <w:t>S</w:t>
      </w:r>
      <w:r w:rsidR="00374460">
        <w:rPr>
          <w:rFonts w:eastAsiaTheme="minorEastAsia"/>
          <w:lang w:eastAsia="zh-CN"/>
        </w:rPr>
        <w:t>ome of the open issues are left and hence i</w:t>
      </w:r>
      <w:r w:rsidR="00FF799D">
        <w:rPr>
          <w:rFonts w:eastAsiaTheme="minorEastAsia"/>
          <w:lang w:eastAsia="zh-CN"/>
        </w:rPr>
        <w:t xml:space="preserve">n this paper, we try to </w:t>
      </w:r>
      <w:r w:rsidR="00374460">
        <w:rPr>
          <w:rFonts w:eastAsiaTheme="minorEastAsia"/>
          <w:lang w:eastAsia="zh-CN"/>
        </w:rPr>
        <w:t>give further discussion on it.</w:t>
      </w:r>
    </w:p>
    <w:p w:rsidR="003A046D" w:rsidRDefault="00986414">
      <w:pPr>
        <w:pStyle w:val="1"/>
        <w:numPr>
          <w:ilvl w:val="0"/>
          <w:numId w:val="2"/>
        </w:numPr>
        <w:rPr>
          <w:rFonts w:eastAsiaTheme="minorEastAsia"/>
          <w:lang w:eastAsia="zh-CN"/>
        </w:rPr>
      </w:pPr>
      <w:r>
        <w:t>Discussion</w:t>
      </w:r>
    </w:p>
    <w:p w:rsidR="008444EE" w:rsidRPr="004A1EF7" w:rsidRDefault="00374460">
      <w:pPr>
        <w:rPr>
          <w:rFonts w:eastAsiaTheme="minorEastAsia"/>
          <w:lang w:eastAsia="zh-CN"/>
        </w:rPr>
      </w:pPr>
      <w:r>
        <w:rPr>
          <w:rFonts w:eastAsiaTheme="minorEastAsia"/>
          <w:lang w:eastAsia="zh-CN"/>
        </w:rPr>
        <w:t xml:space="preserve">Firstly, on the system parameter, </w:t>
      </w:r>
      <w:r w:rsidR="00F23A68">
        <w:rPr>
          <w:rFonts w:eastAsiaTheme="minorEastAsia"/>
          <w:lang w:eastAsia="zh-CN"/>
        </w:rPr>
        <w:t>the open issues are captured as below:</w:t>
      </w:r>
      <w:r>
        <w:rPr>
          <w:rFonts w:eastAsiaTheme="minorEastAsia"/>
          <w:lang w:eastAsia="zh-CN"/>
        </w:rPr>
        <w:t xml:space="preserve"> </w:t>
      </w:r>
    </w:p>
    <w:p w:rsidR="00D913EC" w:rsidRDefault="008444EE" w:rsidP="008444EE">
      <w:pPr>
        <w:jc w:val="center"/>
        <w:rPr>
          <w:rFonts w:eastAsiaTheme="minorEastAsia"/>
          <w:b/>
          <w:lang w:val="en-US" w:eastAsia="zh-CN"/>
        </w:rPr>
      </w:pPr>
      <w:r>
        <w:rPr>
          <w:rFonts w:eastAsiaTheme="minorEastAsia"/>
          <w:b/>
          <w:noProof/>
          <w:lang w:val="en-US" w:eastAsia="zh-CN"/>
        </w:rPr>
        <mc:AlternateContent>
          <mc:Choice Requires="wps">
            <w:drawing>
              <wp:inline distT="0" distB="0" distL="0" distR="0">
                <wp:extent cx="4579952" cy="2433099"/>
                <wp:effectExtent l="0" t="0" r="24130" b="24765"/>
                <wp:docPr id="3" name="文本框 3"/>
                <wp:cNvGraphicFramePr/>
                <a:graphic xmlns:a="http://schemas.openxmlformats.org/drawingml/2006/main">
                  <a:graphicData uri="http://schemas.microsoft.com/office/word/2010/wordprocessingShape">
                    <wps:wsp>
                      <wps:cNvSpPr txBox="1"/>
                      <wps:spPr>
                        <a:xfrm>
                          <a:off x="0" y="0"/>
                          <a:ext cx="4579952" cy="2433099"/>
                        </a:xfrm>
                        <a:prstGeom prst="rect">
                          <a:avLst/>
                        </a:prstGeom>
                        <a:solidFill>
                          <a:schemeClr val="lt1"/>
                        </a:solidFill>
                        <a:ln w="6350">
                          <a:solidFill>
                            <a:prstClr val="black"/>
                          </a:solidFill>
                        </a:ln>
                      </wps:spPr>
                      <wps:txbx>
                        <w:txbxContent>
                          <w:p w:rsidR="00374460" w:rsidRPr="00374460" w:rsidRDefault="00374460" w:rsidP="00374460">
                            <w:pPr>
                              <w:pStyle w:val="4"/>
                              <w:rPr>
                                <w:lang w:val="en-US" w:eastAsia="ja-JP"/>
                              </w:rPr>
                            </w:pPr>
                            <w:r w:rsidRPr="00374460">
                              <w:rPr>
                                <w:lang w:val="en-US" w:eastAsia="ja-JP"/>
                              </w:rPr>
                              <w:t>Topic #1: System parameters</w:t>
                            </w:r>
                          </w:p>
                          <w:p w:rsidR="00374460" w:rsidRDefault="00374460" w:rsidP="00374460">
                            <w:pPr>
                              <w:rPr>
                                <w:lang w:eastAsia="ja-JP"/>
                              </w:rPr>
                            </w:pPr>
                            <w:r>
                              <w:rPr>
                                <w:lang w:eastAsia="ja-JP"/>
                              </w:rPr>
                              <w:t>Agreements for the system parameters:</w:t>
                            </w:r>
                          </w:p>
                          <w:p w:rsidR="00374460" w:rsidRPr="00374460" w:rsidRDefault="00374460" w:rsidP="00374460">
                            <w:pPr>
                              <w:pStyle w:val="B1"/>
                              <w:rPr>
                                <w:lang w:val="en-US"/>
                              </w:rPr>
                            </w:pPr>
                            <w:r w:rsidRPr="00374460">
                              <w:rPr>
                                <w:lang w:val="en-US"/>
                              </w:rPr>
                              <w:t>-</w:t>
                            </w:r>
                            <w:r w:rsidRPr="00374460">
                              <w:rPr>
                                <w:lang w:val="en-US"/>
                              </w:rPr>
                              <w:tab/>
                              <w:t>15MHz channel bandwidths is specified for the band n254</w:t>
                            </w:r>
                          </w:p>
                          <w:p w:rsidR="008444EE" w:rsidRDefault="00374460" w:rsidP="00374460">
                            <w:pPr>
                              <w:pStyle w:val="TH"/>
                              <w:jc w:val="left"/>
                              <w:rPr>
                                <w:b w:val="0"/>
                                <w:color w:val="000000" w:themeColor="text1"/>
                                <w:lang w:val="en-US"/>
                              </w:rPr>
                            </w:pPr>
                            <w:r w:rsidRPr="00374460">
                              <w:rPr>
                                <w:b w:val="0"/>
                                <w:lang w:val="en-US"/>
                              </w:rPr>
                              <w:tab/>
                              <w:t>FFS: On whether it should be</w:t>
                            </w:r>
                            <w:r w:rsidRPr="00374460">
                              <w:rPr>
                                <w:b w:val="0"/>
                                <w:color w:val="000000" w:themeColor="text1"/>
                                <w:lang w:val="en-US"/>
                              </w:rPr>
                              <w:t xml:space="preserve"> optional or mandatory</w:t>
                            </w:r>
                          </w:p>
                          <w:p w:rsidR="00374460" w:rsidRPr="00A06E04" w:rsidRDefault="00374460" w:rsidP="00374460">
                            <w:pPr>
                              <w:pStyle w:val="5"/>
                            </w:pPr>
                            <w:r w:rsidRPr="00A06E04">
                              <w:t>Issue 1-3: Asymmetric channel bandwidth combinations</w:t>
                            </w:r>
                          </w:p>
                          <w:p w:rsidR="00374460" w:rsidRPr="00A06E04" w:rsidRDefault="00374460" w:rsidP="00374460">
                            <w:pPr>
                              <w:pStyle w:val="afd"/>
                              <w:numPr>
                                <w:ilvl w:val="0"/>
                                <w:numId w:val="3"/>
                              </w:numPr>
                              <w:adjustRightInd w:val="0"/>
                              <w:spacing w:after="180" w:line="240" w:lineRule="auto"/>
                              <w:ind w:left="426"/>
                              <w:contextualSpacing w:val="0"/>
                            </w:pPr>
                            <w:r w:rsidRPr="00A06E04">
                              <w:t>Proposals</w:t>
                            </w:r>
                          </w:p>
                          <w:p w:rsidR="00374460" w:rsidRPr="00A06E04" w:rsidRDefault="00374460" w:rsidP="00374460">
                            <w:pPr>
                              <w:pStyle w:val="afd"/>
                              <w:numPr>
                                <w:ilvl w:val="1"/>
                                <w:numId w:val="3"/>
                              </w:numPr>
                              <w:adjustRightInd w:val="0"/>
                              <w:spacing w:after="180" w:line="240" w:lineRule="auto"/>
                              <w:ind w:left="993"/>
                              <w:contextualSpacing w:val="0"/>
                            </w:pPr>
                            <w:r w:rsidRPr="00A06E04">
                              <w:t>Option 1: Introduce 5+10MHz, 5+15MHz, and 10+15MHz UL/DL asymmetric channel combinations for the new NTN band under the existing RAN4 principles (Apple, Globalstar, CAICT, ZTE).</w:t>
                            </w:r>
                          </w:p>
                          <w:p w:rsidR="00374460" w:rsidRPr="00F23A68" w:rsidRDefault="00374460" w:rsidP="00374460">
                            <w:pPr>
                              <w:pStyle w:val="afd"/>
                              <w:numPr>
                                <w:ilvl w:val="1"/>
                                <w:numId w:val="3"/>
                              </w:numPr>
                              <w:adjustRightInd w:val="0"/>
                              <w:spacing w:after="180" w:line="240" w:lineRule="auto"/>
                              <w:ind w:left="993"/>
                              <w:contextualSpacing w:val="0"/>
                            </w:pPr>
                            <w:r w:rsidRPr="00A06E04">
                              <w:t>Option 2: None at this meeting.</w:t>
                            </w:r>
                          </w:p>
                          <w:p w:rsidR="008444EE" w:rsidRPr="00374460" w:rsidRDefault="008444EE" w:rsidP="008444EE">
                            <w:pPr>
                              <w:jc w:val="cente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3" o:spid="_x0000_s1026" type="#_x0000_t202" style="width:360.65pt;height:191.6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" fillcolor="white [3201]" strokeweight=".5pt">
                <v:textbox>
                  <w:txbxContent>
                    <w:p w:rsidR="00374460" w:rsidRPr="00374460" w:rsidRDefault="00374460" w:rsidP="00374460">
                      <w:pPr>
                        <w:pStyle w:val="4"/>
                        <w:rPr>
                          <w:lang w:val="en-US" w:eastAsia="ja-JP"/>
                        </w:rPr>
                      </w:pPr>
                      <w:r w:rsidRPr="00374460">
                        <w:rPr>
                          <w:lang w:val="en-US" w:eastAsia="ja-JP"/>
                        </w:rPr>
                        <w:t>Topic #1: System parameters</w:t>
                      </w:r>
                    </w:p>
                    <w:p w:rsidR="00374460" w:rsidRDefault="00374460" w:rsidP="00374460">
                      <w:pPr>
                        <w:rPr>
                          <w:lang w:eastAsia="ja-JP"/>
                        </w:rPr>
                      </w:pPr>
                      <w:r>
                        <w:rPr>
                          <w:lang w:eastAsia="ja-JP"/>
                        </w:rPr>
                        <w:t>Agreements for the system parameters:</w:t>
                      </w:r>
                    </w:p>
                    <w:p w:rsidR="00374460" w:rsidRPr="00374460" w:rsidRDefault="00374460" w:rsidP="00374460">
                      <w:pPr>
                        <w:pStyle w:val="B1"/>
                        <w:rPr>
                          <w:lang w:val="en-US"/>
                        </w:rPr>
                      </w:pPr>
                      <w:r w:rsidRPr="00374460">
                        <w:rPr>
                          <w:lang w:val="en-US"/>
                        </w:rPr>
                        <w:t>-</w:t>
                      </w:r>
                      <w:r w:rsidRPr="00374460">
                        <w:rPr>
                          <w:lang w:val="en-US"/>
                        </w:rPr>
                        <w:tab/>
                        <w:t>15MHz channel bandwidths is specified for the band n254</w:t>
                      </w:r>
                    </w:p>
                    <w:p w:rsidR="008444EE" w:rsidRDefault="00374460" w:rsidP="00374460">
                      <w:pPr>
                        <w:pStyle w:val="TH"/>
                        <w:jc w:val="left"/>
                        <w:rPr>
                          <w:b w:val="0"/>
                          <w:color w:val="000000" w:themeColor="text1"/>
                          <w:lang w:val="en-US"/>
                        </w:rPr>
                      </w:pPr>
                      <w:r w:rsidRPr="00374460">
                        <w:rPr>
                          <w:b w:val="0"/>
                          <w:lang w:val="en-US"/>
                        </w:rPr>
                        <w:tab/>
                        <w:t>FFS: On whether it should be</w:t>
                      </w:r>
                      <w:r w:rsidRPr="00374460">
                        <w:rPr>
                          <w:b w:val="0"/>
                          <w:color w:val="000000" w:themeColor="text1"/>
                          <w:lang w:val="en-US"/>
                        </w:rPr>
                        <w:t xml:space="preserve"> optional or mandatory</w:t>
                      </w:r>
                    </w:p>
                    <w:p w:rsidR="00374460" w:rsidRPr="00A06E04" w:rsidRDefault="00374460" w:rsidP="00374460">
                      <w:pPr>
                        <w:pStyle w:val="5"/>
                      </w:pPr>
                      <w:r w:rsidRPr="00A06E04">
                        <w:t>Issue 1-3: Asymmetric channel bandwidth combinations</w:t>
                      </w:r>
                    </w:p>
                    <w:p w:rsidR="00374460" w:rsidRPr="00A06E04" w:rsidRDefault="00374460" w:rsidP="00374460">
                      <w:pPr>
                        <w:pStyle w:val="afd"/>
                        <w:numPr>
                          <w:ilvl w:val="0"/>
                          <w:numId w:val="3"/>
                        </w:numPr>
                        <w:adjustRightInd w:val="0"/>
                        <w:spacing w:after="180" w:line="240" w:lineRule="auto"/>
                        <w:ind w:left="426"/>
                        <w:contextualSpacing w:val="0"/>
                      </w:pPr>
                      <w:r w:rsidRPr="00A06E04">
                        <w:t>Proposals</w:t>
                      </w:r>
                    </w:p>
                    <w:p w:rsidR="00374460" w:rsidRPr="00A06E04" w:rsidRDefault="00374460" w:rsidP="00374460">
                      <w:pPr>
                        <w:pStyle w:val="afd"/>
                        <w:numPr>
                          <w:ilvl w:val="1"/>
                          <w:numId w:val="3"/>
                        </w:numPr>
                        <w:adjustRightInd w:val="0"/>
                        <w:spacing w:after="180" w:line="240" w:lineRule="auto"/>
                        <w:ind w:left="993"/>
                        <w:contextualSpacing w:val="0"/>
                      </w:pPr>
                      <w:r w:rsidRPr="00A06E04">
                        <w:t xml:space="preserve">Option 1: Introduce 5+10MHz, 5+15MHz, and 10+15MHz UL/DL asymmetric channel combinations for the new NTN band under the existing RAN4 principles (Apple, </w:t>
                      </w:r>
                      <w:proofErr w:type="spellStart"/>
                      <w:r w:rsidRPr="00A06E04">
                        <w:t>Globalstar</w:t>
                      </w:r>
                      <w:proofErr w:type="spellEnd"/>
                      <w:r w:rsidRPr="00A06E04">
                        <w:t>, CAICT, ZTE).</w:t>
                      </w:r>
                    </w:p>
                    <w:p w:rsidR="00374460" w:rsidRPr="00F23A68" w:rsidRDefault="00374460" w:rsidP="00374460">
                      <w:pPr>
                        <w:pStyle w:val="afd"/>
                        <w:numPr>
                          <w:ilvl w:val="1"/>
                          <w:numId w:val="3"/>
                        </w:numPr>
                        <w:adjustRightInd w:val="0"/>
                        <w:spacing w:after="180" w:line="240" w:lineRule="auto"/>
                        <w:ind w:left="993"/>
                        <w:contextualSpacing w:val="0"/>
                      </w:pPr>
                      <w:r w:rsidRPr="00A06E04">
                        <w:t>Option 2: None at this meeting.</w:t>
                      </w:r>
                    </w:p>
                    <w:p w:rsidR="008444EE" w:rsidRPr="00374460" w:rsidRDefault="008444EE" w:rsidP="008444EE">
                      <w:pPr>
                        <w:jc w:val="center"/>
                      </w:pPr>
                    </w:p>
                  </w:txbxContent>
                </v:textbox>
                <w10:anchorlock/>
              </v:shape>
            </w:pict>
          </mc:Fallback>
        </mc:AlternateContent>
      </w:r>
    </w:p>
    <w:p w:rsidR="00374460" w:rsidRDefault="00374460">
      <w:pPr>
        <w:rPr>
          <w:rFonts w:eastAsiaTheme="minorEastAsia"/>
          <w:lang w:val="en-US" w:eastAsia="zh-CN"/>
        </w:rPr>
      </w:pPr>
      <w:r>
        <w:rPr>
          <w:rFonts w:eastAsiaTheme="minorEastAsia" w:hint="eastAsia"/>
          <w:lang w:val="en-US" w:eastAsia="zh-CN"/>
        </w:rPr>
        <w:t>C</w:t>
      </w:r>
      <w:r>
        <w:rPr>
          <w:rFonts w:eastAsiaTheme="minorEastAsia"/>
          <w:lang w:val="en-US" w:eastAsia="zh-CN"/>
        </w:rPr>
        <w:t>urrently the CBW of 5, 10, 15 and 20MHz are all mandatory supported. In such case, the L/S band is using the UL and DL frequency of these L and S bands and hence 15MHz can be mandatory supported in such ases.</w:t>
      </w:r>
    </w:p>
    <w:p w:rsidR="00374460" w:rsidRPr="00F23A68" w:rsidRDefault="00374460">
      <w:pPr>
        <w:rPr>
          <w:rFonts w:eastAsiaTheme="minorEastAsia"/>
          <w:b/>
          <w:lang w:val="en-US" w:eastAsia="zh-CN"/>
        </w:rPr>
      </w:pPr>
      <w:r w:rsidRPr="00F23A68">
        <w:rPr>
          <w:rFonts w:eastAsiaTheme="minorEastAsia" w:hint="eastAsia"/>
          <w:b/>
          <w:lang w:val="en-US" w:eastAsia="zh-CN"/>
        </w:rPr>
        <w:t>P</w:t>
      </w:r>
      <w:r w:rsidRPr="00F23A68">
        <w:rPr>
          <w:rFonts w:eastAsiaTheme="minorEastAsia"/>
          <w:b/>
          <w:lang w:val="en-US" w:eastAsia="zh-CN"/>
        </w:rPr>
        <w:t>roposal 1: 15MHz is mandatory supported for band n254.</w:t>
      </w:r>
    </w:p>
    <w:p w:rsidR="00374460" w:rsidRDefault="00F23A68">
      <w:pPr>
        <w:rPr>
          <w:rFonts w:eastAsiaTheme="minorEastAsia"/>
          <w:lang w:val="en-US" w:eastAsia="zh-CN"/>
        </w:rPr>
      </w:pPr>
      <w:r>
        <w:rPr>
          <w:rFonts w:eastAsiaTheme="minorEastAsia"/>
          <w:lang w:val="en-US" w:eastAsia="zh-CN"/>
        </w:rPr>
        <w:t xml:space="preserve">For the asymmetric channel bandwidth combinations, considering the </w:t>
      </w:r>
      <w:r w:rsidR="00D901E5">
        <w:rPr>
          <w:rFonts w:eastAsiaTheme="minorEastAsia"/>
          <w:lang w:val="en-US" w:eastAsia="zh-CN"/>
        </w:rPr>
        <w:t>spectrum for NTN usage is small, the asymmetric channel bandwidth helps easier deployment. Hence it is proposed to further study the asymmetric channel bandwidth combinations under this WID.</w:t>
      </w:r>
    </w:p>
    <w:p w:rsidR="00D901E5" w:rsidRPr="00D901E5" w:rsidRDefault="00D901E5">
      <w:pPr>
        <w:rPr>
          <w:rFonts w:eastAsiaTheme="minorEastAsia"/>
          <w:b/>
          <w:lang w:val="en-US" w:eastAsia="zh-CN"/>
        </w:rPr>
      </w:pPr>
      <w:r w:rsidRPr="00D901E5">
        <w:rPr>
          <w:rFonts w:eastAsiaTheme="minorEastAsia" w:hint="eastAsia"/>
          <w:b/>
          <w:lang w:val="en-US" w:eastAsia="zh-CN"/>
        </w:rPr>
        <w:t>P</w:t>
      </w:r>
      <w:r w:rsidRPr="00D901E5">
        <w:rPr>
          <w:rFonts w:eastAsiaTheme="minorEastAsia"/>
          <w:b/>
          <w:lang w:val="en-US" w:eastAsia="zh-CN"/>
        </w:rPr>
        <w:t>roposal 2: To further study the asymmetric bandwidth combination.</w:t>
      </w:r>
    </w:p>
    <w:p w:rsidR="00C5216B" w:rsidRDefault="001B7524">
      <w:pPr>
        <w:rPr>
          <w:rFonts w:eastAsiaTheme="minorEastAsia"/>
          <w:lang w:val="en-US" w:eastAsia="zh-CN"/>
        </w:rPr>
      </w:pPr>
      <w:r>
        <w:rPr>
          <w:rFonts w:eastAsiaTheme="minorEastAsia"/>
          <w:noProof/>
          <w:lang w:val="en-US" w:eastAsia="zh-CN"/>
        </w:rPr>
        <mc:AlternateContent>
          <mc:Choice Requires="wps">
            <w:drawing>
              <wp:inline distT="0" distB="0" distL="0" distR="0">
                <wp:extent cx="914400" cy="1351722"/>
                <wp:effectExtent l="0" t="0" r="24130" b="20320"/>
                <wp:docPr id="4" name="文本框 4"/>
                <wp:cNvGraphicFramePr/>
                <a:graphic xmlns:a="http://schemas.openxmlformats.org/drawingml/2006/main">
                  <a:graphicData uri="http://schemas.microsoft.com/office/word/2010/wordprocessingShape">
                    <wps:wsp>
                      <wps:cNvSpPr txBox="1"/>
                      <wps:spPr>
                        <a:xfrm>
                          <a:off x="0" y="0"/>
                          <a:ext cx="914400" cy="1351722"/>
                        </a:xfrm>
                        <a:prstGeom prst="rect">
                          <a:avLst/>
                        </a:prstGeom>
                        <a:solidFill>
                          <a:schemeClr val="lt1"/>
                        </a:solidFill>
                        <a:ln w="6350">
                          <a:solidFill>
                            <a:prstClr val="black"/>
                          </a:solidFill>
                        </a:ln>
                      </wps:spPr>
                      <wps:txbx>
                        <w:txbxContent>
                          <w:p w:rsidR="00D901E5" w:rsidRPr="00A06E04" w:rsidRDefault="00D901E5" w:rsidP="00D901E5">
                            <w:pPr>
                              <w:pStyle w:val="5"/>
                            </w:pPr>
                            <w:r w:rsidRPr="00A06E04">
                              <w:t>ssue 2-6: Reference sensitivity</w:t>
                            </w:r>
                          </w:p>
                          <w:p w:rsidR="00D901E5" w:rsidRPr="00A06E04" w:rsidRDefault="00D901E5" w:rsidP="00D901E5">
                            <w:pPr>
                              <w:pStyle w:val="afd"/>
                              <w:numPr>
                                <w:ilvl w:val="0"/>
                                <w:numId w:val="3"/>
                              </w:numPr>
                              <w:adjustRightInd w:val="0"/>
                              <w:spacing w:after="180" w:line="240" w:lineRule="auto"/>
                              <w:ind w:left="426"/>
                              <w:contextualSpacing w:val="0"/>
                            </w:pPr>
                            <w:r w:rsidRPr="00A06E04">
                              <w:t>Proposals</w:t>
                            </w:r>
                          </w:p>
                          <w:p w:rsidR="00D901E5" w:rsidRPr="00D901E5" w:rsidRDefault="00D901E5" w:rsidP="00D901E5">
                            <w:pPr>
                              <w:pStyle w:val="afd"/>
                              <w:numPr>
                                <w:ilvl w:val="1"/>
                                <w:numId w:val="3"/>
                              </w:numPr>
                              <w:adjustRightInd w:val="0"/>
                              <w:spacing w:after="180" w:line="240" w:lineRule="auto"/>
                              <w:ind w:left="993"/>
                              <w:contextualSpacing w:val="0"/>
                            </w:pPr>
                            <w:r w:rsidRPr="00A06E04">
                              <w:t>Option 1: Band n53 REFSENS with 0.5dB insertion loss, i.e. same as band n256 REFSENS (Apple, Globalstar)</w:t>
                            </w:r>
                            <w:r>
                              <w:t xml:space="preserve"> </w:t>
                            </w:r>
                          </w:p>
                          <w:p w:rsidR="00D901E5" w:rsidRPr="00A06E04" w:rsidRDefault="00D901E5" w:rsidP="00D901E5">
                            <w:pPr>
                              <w:pStyle w:val="afd"/>
                              <w:numPr>
                                <w:ilvl w:val="1"/>
                                <w:numId w:val="3"/>
                              </w:numPr>
                              <w:adjustRightInd w:val="0"/>
                              <w:spacing w:after="180" w:line="240" w:lineRule="auto"/>
                              <w:ind w:left="993"/>
                              <w:contextualSpacing w:val="0"/>
                            </w:pPr>
                            <w:r w:rsidRPr="00A06E04">
                              <w:t>Option 2: Band n53 REFSENS, i.e. no insertion loss is assumed (Huawei, ZTE, Xiaomi)</w:t>
                            </w:r>
                          </w:p>
                          <w:p w:rsidR="001B7524" w:rsidRDefault="001B7524"/>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4" o:spid="_x0000_s1027" type="#_x0000_t202" style="width:1in;height:106.4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" fillcolor="white [3201]" strokeweight=".5pt">
                <v:textbox>
                  <w:txbxContent>
                    <w:p w:rsidR="00D901E5" w:rsidRPr="00A06E04" w:rsidRDefault="00D901E5" w:rsidP="00D901E5">
                      <w:pPr>
                        <w:pStyle w:val="5"/>
                      </w:pPr>
                      <w:r w:rsidRPr="00A06E04">
                        <w:t>ssue 2-6: Reference sensitivity</w:t>
                      </w:r>
                    </w:p>
                    <w:p w:rsidR="00D901E5" w:rsidRPr="00A06E04" w:rsidRDefault="00D901E5" w:rsidP="00D901E5">
                      <w:pPr>
                        <w:pStyle w:val="afd"/>
                        <w:numPr>
                          <w:ilvl w:val="0"/>
                          <w:numId w:val="3"/>
                        </w:numPr>
                        <w:adjustRightInd w:val="0"/>
                        <w:spacing w:after="180" w:line="240" w:lineRule="auto"/>
                        <w:ind w:left="426"/>
                        <w:contextualSpacing w:val="0"/>
                      </w:pPr>
                      <w:r w:rsidRPr="00A06E04">
                        <w:t>Proposals</w:t>
                      </w:r>
                    </w:p>
                    <w:p w:rsidR="00D901E5" w:rsidRPr="00D901E5" w:rsidRDefault="00D901E5" w:rsidP="00D901E5">
                      <w:pPr>
                        <w:pStyle w:val="afd"/>
                        <w:numPr>
                          <w:ilvl w:val="1"/>
                          <w:numId w:val="3"/>
                        </w:numPr>
                        <w:adjustRightInd w:val="0"/>
                        <w:spacing w:after="180" w:line="240" w:lineRule="auto"/>
                        <w:ind w:left="993"/>
                        <w:contextualSpacing w:val="0"/>
                      </w:pPr>
                      <w:r w:rsidRPr="00A06E04">
                        <w:t xml:space="preserve">Option 1: Band n53 REFSENS with 0.5dB insertion loss, i.e. same as band n256 REFSENS (Apple, </w:t>
                      </w:r>
                      <w:proofErr w:type="spellStart"/>
                      <w:r w:rsidRPr="00A06E04">
                        <w:t>Globalstar</w:t>
                      </w:r>
                      <w:proofErr w:type="spellEnd"/>
                      <w:r w:rsidRPr="00A06E04">
                        <w:t>)</w:t>
                      </w:r>
                      <w:r>
                        <w:t xml:space="preserve"> </w:t>
                      </w:r>
                    </w:p>
                    <w:p w:rsidR="00D901E5" w:rsidRPr="00A06E04" w:rsidRDefault="00D901E5" w:rsidP="00D901E5">
                      <w:pPr>
                        <w:pStyle w:val="afd"/>
                        <w:numPr>
                          <w:ilvl w:val="1"/>
                          <w:numId w:val="3"/>
                        </w:numPr>
                        <w:adjustRightInd w:val="0"/>
                        <w:spacing w:after="180" w:line="240" w:lineRule="auto"/>
                        <w:ind w:left="993"/>
                        <w:contextualSpacing w:val="0"/>
                      </w:pPr>
                      <w:r w:rsidRPr="00A06E04">
                        <w:t>Option 2: Band n53 REFSENS, i.e. no insertion loss is assumed (Huawei, ZTE, Xiaomi)</w:t>
                      </w:r>
                    </w:p>
                    <w:p w:rsidR="001B7524" w:rsidRDefault="001B7524"/>
                  </w:txbxContent>
                </v:textbox>
                <w10:anchorlock/>
              </v:shape>
            </w:pict>
          </mc:Fallback>
        </mc:AlternateContent>
      </w:r>
      <w:r w:rsidR="00C5216B">
        <w:rPr>
          <w:rFonts w:eastAsiaTheme="minorEastAsia"/>
          <w:lang w:val="en-US" w:eastAsia="zh-CN"/>
        </w:rPr>
        <w:t xml:space="preserve"> </w:t>
      </w:r>
    </w:p>
    <w:p w:rsidR="00D566E4" w:rsidRDefault="00D566E4" w:rsidP="00D566E4">
      <w:pPr>
        <w:rPr>
          <w:rFonts w:eastAsiaTheme="minorEastAsia"/>
          <w:lang w:val="en-US" w:eastAsia="zh-CN"/>
        </w:rPr>
      </w:pPr>
      <w:r>
        <w:rPr>
          <w:rFonts w:eastAsiaTheme="minorEastAsia"/>
          <w:lang w:val="en-US" w:eastAsia="zh-CN"/>
        </w:rPr>
        <w:lastRenderedPageBreak/>
        <w:t>For the REFSENS requirement, it has been discussed long during the past meetings. The difference between two options as captured below is whether to introduce the 0.5 dB insertion loss. For the option 2, it is proposed to use band n53 REFSENS requirement. However, band n53 is a TDD band and hence reusing the band n53 requirement is not appropriate. When we look back to the NTN band n255 and n256 REFSENS requirement, the band n255 has 0.5dB more stringent requirement than band n256. This is because as per operator request, better filter compared to band n65 should be used to bring better receiver performance. In such case, for band n254, we don’t see the desire that to put more stringent requirement to UE implementation and similar REFSENS requirement for band n256 means the link budget is sufficient.</w:t>
      </w:r>
    </w:p>
    <w:p w:rsidR="00D566E4" w:rsidRPr="00D566E4" w:rsidRDefault="00D566E4">
      <w:pPr>
        <w:rPr>
          <w:rFonts w:eastAsiaTheme="minorEastAsia"/>
          <w:b/>
          <w:lang w:val="en-US" w:eastAsia="zh-CN"/>
        </w:rPr>
      </w:pPr>
      <w:r w:rsidRPr="00D566E4">
        <w:rPr>
          <w:rFonts w:eastAsiaTheme="minorEastAsia"/>
          <w:b/>
          <w:lang w:val="en-US" w:eastAsia="zh-CN"/>
        </w:rPr>
        <w:t>Observation 1: No strong desire that to put more stringent requirement to UE implementation on band n254.</w:t>
      </w:r>
    </w:p>
    <w:p w:rsidR="00D566E4" w:rsidRPr="00D566E4" w:rsidRDefault="00D566E4">
      <w:pPr>
        <w:rPr>
          <w:rFonts w:eastAsiaTheme="minorEastAsia"/>
          <w:b/>
          <w:lang w:val="en-US" w:eastAsia="zh-CN"/>
        </w:rPr>
      </w:pPr>
      <w:r w:rsidRPr="00D566E4">
        <w:rPr>
          <w:rFonts w:eastAsiaTheme="minorEastAsia" w:hint="eastAsia"/>
          <w:b/>
          <w:lang w:val="en-US" w:eastAsia="zh-CN"/>
        </w:rPr>
        <w:t>O</w:t>
      </w:r>
      <w:r w:rsidRPr="00D566E4">
        <w:rPr>
          <w:rFonts w:eastAsiaTheme="minorEastAsia"/>
          <w:b/>
          <w:lang w:val="en-US" w:eastAsia="zh-CN"/>
        </w:rPr>
        <w:t>bservation 2: Similar REFSENS requirement for band n256 means the link budget is sufficient.</w:t>
      </w:r>
    </w:p>
    <w:p w:rsidR="00D566E4" w:rsidRPr="00D566E4" w:rsidRDefault="00D566E4">
      <w:pPr>
        <w:rPr>
          <w:rFonts w:eastAsiaTheme="minorEastAsia"/>
          <w:b/>
          <w:lang w:val="en-US" w:eastAsia="zh-CN"/>
        </w:rPr>
      </w:pPr>
      <w:r w:rsidRPr="00D566E4">
        <w:rPr>
          <w:rFonts w:eastAsiaTheme="minorEastAsia" w:hint="eastAsia"/>
          <w:b/>
          <w:lang w:val="en-US" w:eastAsia="zh-CN"/>
        </w:rPr>
        <w:t>P</w:t>
      </w:r>
      <w:r w:rsidRPr="00D566E4">
        <w:rPr>
          <w:rFonts w:eastAsiaTheme="minorEastAsia"/>
          <w:b/>
          <w:lang w:val="en-US" w:eastAsia="zh-CN"/>
        </w:rPr>
        <w:t xml:space="preserve">roposal 3: </w:t>
      </w:r>
      <w:r>
        <w:rPr>
          <w:rFonts w:eastAsiaTheme="minorEastAsia"/>
          <w:b/>
          <w:lang w:val="en-US" w:eastAsia="zh-CN"/>
        </w:rPr>
        <w:t xml:space="preserve">To agree on </w:t>
      </w:r>
      <w:r w:rsidRPr="00D566E4">
        <w:rPr>
          <w:rFonts w:eastAsiaTheme="minorEastAsia"/>
          <w:b/>
          <w:lang w:val="en-US" w:eastAsia="zh-CN"/>
        </w:rPr>
        <w:t>Band n53 REFSENS with 0.5dB insertion loss, i.e. same as band n256 REFSENS</w:t>
      </w:r>
      <w:r>
        <w:rPr>
          <w:rFonts w:eastAsiaTheme="minorEastAsia"/>
          <w:b/>
          <w:lang w:val="en-US" w:eastAsia="zh-CN"/>
        </w:rPr>
        <w:t xml:space="preserve"> for band n254.</w:t>
      </w:r>
    </w:p>
    <w:p w:rsidR="003A046D" w:rsidRDefault="00986414">
      <w:pPr>
        <w:pStyle w:val="1"/>
        <w:ind w:left="0" w:firstLine="0"/>
      </w:pPr>
      <w:r>
        <w:t>3</w:t>
      </w:r>
      <w:r>
        <w:tab/>
        <w:t>Conclusions</w:t>
      </w:r>
    </w:p>
    <w:p w:rsidR="003A046D" w:rsidRDefault="00986414">
      <w:pPr>
        <w:jc w:val="both"/>
        <w:rPr>
          <w:rFonts w:eastAsiaTheme="minorEastAsia"/>
          <w:lang w:eastAsia="zh-CN"/>
        </w:rPr>
      </w:pPr>
      <w:r>
        <w:t xml:space="preserve">In this contribution, we give initial discussion on the </w:t>
      </w:r>
      <w:r w:rsidR="00B40010">
        <w:t>30MHz for NTN</w:t>
      </w:r>
      <w:r>
        <w:t xml:space="preserve"> and the observation and proposals are shown as below:</w:t>
      </w:r>
    </w:p>
    <w:p w:rsidR="005E4717" w:rsidRPr="00D566E4" w:rsidRDefault="005E4717" w:rsidP="005E4717">
      <w:pPr>
        <w:rPr>
          <w:rFonts w:eastAsiaTheme="minorEastAsia"/>
          <w:b/>
          <w:lang w:val="en-US" w:eastAsia="zh-CN"/>
        </w:rPr>
      </w:pPr>
      <w:r w:rsidRPr="00D566E4">
        <w:rPr>
          <w:rFonts w:eastAsiaTheme="minorEastAsia"/>
          <w:b/>
          <w:lang w:val="en-US" w:eastAsia="zh-CN"/>
        </w:rPr>
        <w:t>Observation 1: No strong desire that to put more stringent requirement to UE implementation on band n254.</w:t>
      </w:r>
    </w:p>
    <w:p w:rsidR="005E4717" w:rsidRPr="005E4717" w:rsidRDefault="005E4717" w:rsidP="005E4717">
      <w:pPr>
        <w:rPr>
          <w:rFonts w:eastAsiaTheme="minorEastAsia"/>
          <w:b/>
          <w:lang w:val="en-US" w:eastAsia="zh-CN"/>
        </w:rPr>
      </w:pPr>
      <w:r w:rsidRPr="00D566E4">
        <w:rPr>
          <w:rFonts w:eastAsiaTheme="minorEastAsia" w:hint="eastAsia"/>
          <w:b/>
          <w:lang w:val="en-US" w:eastAsia="zh-CN"/>
        </w:rPr>
        <w:t>O</w:t>
      </w:r>
      <w:r w:rsidRPr="00D566E4">
        <w:rPr>
          <w:rFonts w:eastAsiaTheme="minorEastAsia"/>
          <w:b/>
          <w:lang w:val="en-US" w:eastAsia="zh-CN"/>
        </w:rPr>
        <w:t>bservation 2: Similar REFSENS requirement for band n256 means the link budget is sufficient.</w:t>
      </w:r>
    </w:p>
    <w:p w:rsidR="005E4717" w:rsidRPr="00F23A68" w:rsidRDefault="005E4717" w:rsidP="005E4717">
      <w:pPr>
        <w:rPr>
          <w:rFonts w:eastAsiaTheme="minorEastAsia"/>
          <w:b/>
          <w:lang w:val="en-US" w:eastAsia="zh-CN"/>
        </w:rPr>
      </w:pPr>
      <w:r w:rsidRPr="00F23A68">
        <w:rPr>
          <w:rFonts w:eastAsiaTheme="minorEastAsia" w:hint="eastAsia"/>
          <w:b/>
          <w:lang w:val="en-US" w:eastAsia="zh-CN"/>
        </w:rPr>
        <w:t>P</w:t>
      </w:r>
      <w:r w:rsidRPr="00F23A68">
        <w:rPr>
          <w:rFonts w:eastAsiaTheme="minorEastAsia"/>
          <w:b/>
          <w:lang w:val="en-US" w:eastAsia="zh-CN"/>
        </w:rPr>
        <w:t>roposal 1: 15MHz is mandatory supported for band n254.</w:t>
      </w:r>
    </w:p>
    <w:p w:rsidR="005E4717" w:rsidRPr="00D901E5" w:rsidRDefault="005E4717" w:rsidP="005E4717">
      <w:pPr>
        <w:rPr>
          <w:rFonts w:eastAsiaTheme="minorEastAsia"/>
          <w:b/>
          <w:lang w:val="en-US" w:eastAsia="zh-CN"/>
        </w:rPr>
      </w:pPr>
      <w:r w:rsidRPr="00D901E5">
        <w:rPr>
          <w:rFonts w:eastAsiaTheme="minorEastAsia" w:hint="eastAsia"/>
          <w:b/>
          <w:lang w:val="en-US" w:eastAsia="zh-CN"/>
        </w:rPr>
        <w:t>P</w:t>
      </w:r>
      <w:r w:rsidRPr="00D901E5">
        <w:rPr>
          <w:rFonts w:eastAsiaTheme="minorEastAsia"/>
          <w:b/>
          <w:lang w:val="en-US" w:eastAsia="zh-CN"/>
        </w:rPr>
        <w:t>roposal 2: To further study the asymmetric bandwidth combination.</w:t>
      </w:r>
    </w:p>
    <w:p w:rsidR="005E4717" w:rsidRPr="00D566E4" w:rsidRDefault="005E4717" w:rsidP="005E4717">
      <w:pPr>
        <w:rPr>
          <w:rFonts w:eastAsiaTheme="minorEastAsia"/>
          <w:b/>
          <w:lang w:val="en-US" w:eastAsia="zh-CN"/>
        </w:rPr>
      </w:pPr>
      <w:r w:rsidRPr="00D566E4">
        <w:rPr>
          <w:rFonts w:eastAsiaTheme="minorEastAsia" w:hint="eastAsia"/>
          <w:b/>
          <w:lang w:val="en-US" w:eastAsia="zh-CN"/>
        </w:rPr>
        <w:t>P</w:t>
      </w:r>
      <w:r w:rsidRPr="00D566E4">
        <w:rPr>
          <w:rFonts w:eastAsiaTheme="minorEastAsia"/>
          <w:b/>
          <w:lang w:val="en-US" w:eastAsia="zh-CN"/>
        </w:rPr>
        <w:t xml:space="preserve">roposal 3: </w:t>
      </w:r>
      <w:r>
        <w:rPr>
          <w:rFonts w:eastAsiaTheme="minorEastAsia"/>
          <w:b/>
          <w:lang w:val="en-US" w:eastAsia="zh-CN"/>
        </w:rPr>
        <w:t xml:space="preserve">To agree on </w:t>
      </w:r>
      <w:r w:rsidRPr="00D566E4">
        <w:rPr>
          <w:rFonts w:eastAsiaTheme="minorEastAsia"/>
          <w:b/>
          <w:lang w:val="en-US" w:eastAsia="zh-CN"/>
        </w:rPr>
        <w:t>Band n53 REFSENS with 0.5dB insertion loss, i.e. same as band n256 REFSENS</w:t>
      </w:r>
      <w:r>
        <w:rPr>
          <w:rFonts w:eastAsiaTheme="minorEastAsia"/>
          <w:b/>
          <w:lang w:val="en-US" w:eastAsia="zh-CN"/>
        </w:rPr>
        <w:t xml:space="preserve"> for band n254.</w:t>
      </w:r>
    </w:p>
    <w:p w:rsidR="003A046D" w:rsidRDefault="00986414">
      <w:pPr>
        <w:pStyle w:val="1"/>
      </w:pPr>
      <w:r>
        <w:t>4 References</w:t>
      </w:r>
    </w:p>
    <w:p w:rsidR="003A046D" w:rsidRPr="006426F4" w:rsidRDefault="00B40010" w:rsidP="00924B9C">
      <w:pPr>
        <w:overflowPunct/>
        <w:autoSpaceDE/>
        <w:autoSpaceDN/>
        <w:adjustRightInd/>
        <w:spacing w:after="0"/>
        <w:textAlignment w:val="auto"/>
        <w:rPr>
          <w:rFonts w:eastAsiaTheme="minorEastAsia"/>
          <w:lang w:val="en-US" w:eastAsia="zh-CN"/>
        </w:rPr>
      </w:pPr>
      <w:r>
        <w:rPr>
          <w:rFonts w:eastAsiaTheme="minorEastAsia" w:cs="Calibri" w:hint="eastAsia"/>
          <w:sz w:val="22"/>
          <w:szCs w:val="22"/>
          <w:lang w:val="en-US" w:eastAsia="zh-CN"/>
        </w:rPr>
        <w:t>[</w:t>
      </w:r>
      <w:r>
        <w:rPr>
          <w:rFonts w:eastAsiaTheme="minorEastAsia" w:cs="Calibri"/>
          <w:sz w:val="22"/>
          <w:szCs w:val="22"/>
          <w:lang w:val="en-US" w:eastAsia="zh-CN"/>
        </w:rPr>
        <w:t>1]</w:t>
      </w:r>
      <w:r w:rsidRPr="00B40010">
        <w:t xml:space="preserve"> </w:t>
      </w:r>
      <w:r w:rsidR="00924B9C" w:rsidRPr="00924B9C">
        <w:rPr>
          <w:rFonts w:eastAsiaTheme="minorEastAsia" w:cs="Calibri"/>
          <w:sz w:val="22"/>
          <w:szCs w:val="22"/>
          <w:lang w:val="en-US" w:eastAsia="zh-CN"/>
        </w:rPr>
        <w:t>R4-2310290</w:t>
      </w:r>
      <w:r w:rsidR="00924B9C">
        <w:rPr>
          <w:rFonts w:eastAsiaTheme="minorEastAsia" w:cs="Calibri"/>
          <w:sz w:val="22"/>
          <w:szCs w:val="22"/>
          <w:lang w:val="en-US" w:eastAsia="zh-CN"/>
        </w:rPr>
        <w:tab/>
      </w:r>
      <w:r w:rsidR="00924B9C">
        <w:rPr>
          <w:rFonts w:eastAsiaTheme="minorEastAsia" w:cs="Calibri"/>
          <w:sz w:val="22"/>
          <w:szCs w:val="22"/>
          <w:lang w:val="en-US" w:eastAsia="zh-CN"/>
        </w:rPr>
        <w:tab/>
      </w:r>
      <w:r w:rsidR="00924B9C" w:rsidRPr="00924B9C">
        <w:rPr>
          <w:rFonts w:eastAsiaTheme="minorEastAsia" w:cs="Calibri"/>
          <w:sz w:val="22"/>
          <w:szCs w:val="22"/>
          <w:lang w:val="en-US" w:eastAsia="zh-CN"/>
        </w:rPr>
        <w:t>WF on NTN L-/S-band</w:t>
      </w:r>
      <w:r w:rsidR="00924B9C">
        <w:rPr>
          <w:rFonts w:eastAsiaTheme="minorEastAsia" w:cs="Calibri"/>
          <w:sz w:val="22"/>
          <w:szCs w:val="22"/>
          <w:lang w:val="en-US" w:eastAsia="zh-CN"/>
        </w:rPr>
        <w:t>, Apple</w:t>
      </w:r>
    </w:p>
    <w:sectPr w:rsidR="003A046D" w:rsidRPr="006426F4"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083C" w:rsidRDefault="0005083C" w:rsidP="006426F4">
      <w:pPr>
        <w:spacing w:after="0"/>
      </w:pPr>
      <w:r>
        <w:separator/>
      </w:r>
    </w:p>
  </w:endnote>
  <w:endnote w:type="continuationSeparator" w:id="0">
    <w:p w:rsidR="0005083C" w:rsidRDefault="0005083C"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083C" w:rsidRDefault="0005083C" w:rsidP="006426F4">
      <w:pPr>
        <w:spacing w:after="0"/>
      </w:pPr>
      <w:r>
        <w:separator/>
      </w:r>
    </w:p>
  </w:footnote>
  <w:footnote w:type="continuationSeparator" w:id="0">
    <w:p w:rsidR="0005083C" w:rsidRDefault="0005083C"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219A"/>
    <w:rsid w:val="000023FC"/>
    <w:rsid w:val="00002BF5"/>
    <w:rsid w:val="000030D8"/>
    <w:rsid w:val="000030E2"/>
    <w:rsid w:val="0000359F"/>
    <w:rsid w:val="00004291"/>
    <w:rsid w:val="000077FB"/>
    <w:rsid w:val="00010920"/>
    <w:rsid w:val="00011FB9"/>
    <w:rsid w:val="00012EFF"/>
    <w:rsid w:val="0001342B"/>
    <w:rsid w:val="00013CEA"/>
    <w:rsid w:val="000141F9"/>
    <w:rsid w:val="00015131"/>
    <w:rsid w:val="00015A87"/>
    <w:rsid w:val="000160B9"/>
    <w:rsid w:val="0001681A"/>
    <w:rsid w:val="0001702D"/>
    <w:rsid w:val="00020784"/>
    <w:rsid w:val="00022105"/>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7811"/>
    <w:rsid w:val="0005083C"/>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49C"/>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4C7B"/>
    <w:rsid w:val="000F5827"/>
    <w:rsid w:val="000F58FF"/>
    <w:rsid w:val="000F6B73"/>
    <w:rsid w:val="001016E7"/>
    <w:rsid w:val="00101FF3"/>
    <w:rsid w:val="00103AFA"/>
    <w:rsid w:val="00107B25"/>
    <w:rsid w:val="00110687"/>
    <w:rsid w:val="0011093B"/>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47971"/>
    <w:rsid w:val="00150979"/>
    <w:rsid w:val="00150A9B"/>
    <w:rsid w:val="00152956"/>
    <w:rsid w:val="00153D41"/>
    <w:rsid w:val="001556A7"/>
    <w:rsid w:val="0015609F"/>
    <w:rsid w:val="001567DA"/>
    <w:rsid w:val="001572E4"/>
    <w:rsid w:val="0015770E"/>
    <w:rsid w:val="00157CC7"/>
    <w:rsid w:val="00160583"/>
    <w:rsid w:val="00160D92"/>
    <w:rsid w:val="001619BC"/>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464"/>
    <w:rsid w:val="001B624B"/>
    <w:rsid w:val="001B6E89"/>
    <w:rsid w:val="001B7524"/>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5FD7"/>
    <w:rsid w:val="001D702C"/>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1A05"/>
    <w:rsid w:val="00241BD2"/>
    <w:rsid w:val="002424E5"/>
    <w:rsid w:val="00244884"/>
    <w:rsid w:val="002456B0"/>
    <w:rsid w:val="00245FDD"/>
    <w:rsid w:val="002460B6"/>
    <w:rsid w:val="0024648E"/>
    <w:rsid w:val="0024696D"/>
    <w:rsid w:val="00246FAC"/>
    <w:rsid w:val="00247F57"/>
    <w:rsid w:val="002509B3"/>
    <w:rsid w:val="00250D7A"/>
    <w:rsid w:val="00251651"/>
    <w:rsid w:val="002528F5"/>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664F"/>
    <w:rsid w:val="002672F4"/>
    <w:rsid w:val="0027082C"/>
    <w:rsid w:val="002713AC"/>
    <w:rsid w:val="00271800"/>
    <w:rsid w:val="00272053"/>
    <w:rsid w:val="0027217D"/>
    <w:rsid w:val="002752B1"/>
    <w:rsid w:val="0027537C"/>
    <w:rsid w:val="00275865"/>
    <w:rsid w:val="00276AAC"/>
    <w:rsid w:val="00276B5E"/>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416C"/>
    <w:rsid w:val="002A4324"/>
    <w:rsid w:val="002A6B92"/>
    <w:rsid w:val="002A6E97"/>
    <w:rsid w:val="002A77B0"/>
    <w:rsid w:val="002B0147"/>
    <w:rsid w:val="002B13C8"/>
    <w:rsid w:val="002B1F6F"/>
    <w:rsid w:val="002B1F7E"/>
    <w:rsid w:val="002B1FD1"/>
    <w:rsid w:val="002B2356"/>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127"/>
    <w:rsid w:val="00306BAB"/>
    <w:rsid w:val="0030775F"/>
    <w:rsid w:val="00307E7A"/>
    <w:rsid w:val="00310ED8"/>
    <w:rsid w:val="00311002"/>
    <w:rsid w:val="00311702"/>
    <w:rsid w:val="0031231C"/>
    <w:rsid w:val="003135D0"/>
    <w:rsid w:val="00316E7F"/>
    <w:rsid w:val="003175E7"/>
    <w:rsid w:val="00320759"/>
    <w:rsid w:val="00320C30"/>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03F"/>
    <w:rsid w:val="00351E3C"/>
    <w:rsid w:val="0035272C"/>
    <w:rsid w:val="0035454A"/>
    <w:rsid w:val="003548E3"/>
    <w:rsid w:val="003551D1"/>
    <w:rsid w:val="00355299"/>
    <w:rsid w:val="00356426"/>
    <w:rsid w:val="003567D0"/>
    <w:rsid w:val="00356EC9"/>
    <w:rsid w:val="00357A83"/>
    <w:rsid w:val="0036059D"/>
    <w:rsid w:val="00360E6F"/>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EA7"/>
    <w:rsid w:val="00372B39"/>
    <w:rsid w:val="00374460"/>
    <w:rsid w:val="00375BB2"/>
    <w:rsid w:val="00376FC6"/>
    <w:rsid w:val="0038059F"/>
    <w:rsid w:val="00380647"/>
    <w:rsid w:val="00381E19"/>
    <w:rsid w:val="00383323"/>
    <w:rsid w:val="003834D5"/>
    <w:rsid w:val="00384AB4"/>
    <w:rsid w:val="00384AD6"/>
    <w:rsid w:val="00384B76"/>
    <w:rsid w:val="00392C1F"/>
    <w:rsid w:val="00393339"/>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2C66"/>
    <w:rsid w:val="003B36AC"/>
    <w:rsid w:val="003B3D92"/>
    <w:rsid w:val="003B403E"/>
    <w:rsid w:val="003B4808"/>
    <w:rsid w:val="003B4C2D"/>
    <w:rsid w:val="003B75C9"/>
    <w:rsid w:val="003B7FF4"/>
    <w:rsid w:val="003C0E64"/>
    <w:rsid w:val="003C2A97"/>
    <w:rsid w:val="003C51D3"/>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CE3"/>
    <w:rsid w:val="00445DAF"/>
    <w:rsid w:val="00445F1E"/>
    <w:rsid w:val="00446DFA"/>
    <w:rsid w:val="00446ECC"/>
    <w:rsid w:val="00447847"/>
    <w:rsid w:val="004500DC"/>
    <w:rsid w:val="00451AA9"/>
    <w:rsid w:val="00451B58"/>
    <w:rsid w:val="00451BB2"/>
    <w:rsid w:val="00452464"/>
    <w:rsid w:val="00453143"/>
    <w:rsid w:val="004537D9"/>
    <w:rsid w:val="00454BC6"/>
    <w:rsid w:val="00454E95"/>
    <w:rsid w:val="004601E5"/>
    <w:rsid w:val="00460C6A"/>
    <w:rsid w:val="00461732"/>
    <w:rsid w:val="00461984"/>
    <w:rsid w:val="00461B3A"/>
    <w:rsid w:val="00462082"/>
    <w:rsid w:val="00463451"/>
    <w:rsid w:val="00463621"/>
    <w:rsid w:val="00463B08"/>
    <w:rsid w:val="00465F44"/>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533"/>
    <w:rsid w:val="004A1869"/>
    <w:rsid w:val="004A1EF7"/>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FCB"/>
    <w:rsid w:val="005137E9"/>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642"/>
    <w:rsid w:val="00533692"/>
    <w:rsid w:val="005345F2"/>
    <w:rsid w:val="00534A38"/>
    <w:rsid w:val="00535CC4"/>
    <w:rsid w:val="00535F75"/>
    <w:rsid w:val="005363E0"/>
    <w:rsid w:val="005364EB"/>
    <w:rsid w:val="005367EF"/>
    <w:rsid w:val="00537432"/>
    <w:rsid w:val="00540D34"/>
    <w:rsid w:val="005427B6"/>
    <w:rsid w:val="0054630C"/>
    <w:rsid w:val="005471EB"/>
    <w:rsid w:val="00547DB1"/>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396B"/>
    <w:rsid w:val="005644BC"/>
    <w:rsid w:val="00564906"/>
    <w:rsid w:val="00567517"/>
    <w:rsid w:val="0056778B"/>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86E"/>
    <w:rsid w:val="005A3E41"/>
    <w:rsid w:val="005A4BDB"/>
    <w:rsid w:val="005A5065"/>
    <w:rsid w:val="005A5213"/>
    <w:rsid w:val="005A5EC0"/>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4717"/>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5523"/>
    <w:rsid w:val="006664C3"/>
    <w:rsid w:val="006709ED"/>
    <w:rsid w:val="006721D0"/>
    <w:rsid w:val="00672519"/>
    <w:rsid w:val="00674DD7"/>
    <w:rsid w:val="0067505C"/>
    <w:rsid w:val="0067519F"/>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5490"/>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4674"/>
    <w:rsid w:val="006D4B74"/>
    <w:rsid w:val="006D608D"/>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57"/>
    <w:rsid w:val="006F4BE3"/>
    <w:rsid w:val="006F52AD"/>
    <w:rsid w:val="006F587B"/>
    <w:rsid w:val="007002C5"/>
    <w:rsid w:val="00700E19"/>
    <w:rsid w:val="007013DD"/>
    <w:rsid w:val="00701444"/>
    <w:rsid w:val="007014C9"/>
    <w:rsid w:val="00702966"/>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9E3"/>
    <w:rsid w:val="00797379"/>
    <w:rsid w:val="007979E9"/>
    <w:rsid w:val="007A010C"/>
    <w:rsid w:val="007A0328"/>
    <w:rsid w:val="007A0D8D"/>
    <w:rsid w:val="007A254C"/>
    <w:rsid w:val="007A394C"/>
    <w:rsid w:val="007A3D7B"/>
    <w:rsid w:val="007A475B"/>
    <w:rsid w:val="007A4CEB"/>
    <w:rsid w:val="007A5D24"/>
    <w:rsid w:val="007A6BE7"/>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03D"/>
    <w:rsid w:val="007E100C"/>
    <w:rsid w:val="007E2A16"/>
    <w:rsid w:val="007E38CD"/>
    <w:rsid w:val="007E477F"/>
    <w:rsid w:val="007E4D46"/>
    <w:rsid w:val="007E5D70"/>
    <w:rsid w:val="007E6337"/>
    <w:rsid w:val="007E6912"/>
    <w:rsid w:val="007E6BC5"/>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4EE"/>
    <w:rsid w:val="008447DD"/>
    <w:rsid w:val="00844EC3"/>
    <w:rsid w:val="00844FAF"/>
    <w:rsid w:val="00846D4E"/>
    <w:rsid w:val="00850CD8"/>
    <w:rsid w:val="008510AB"/>
    <w:rsid w:val="00851C90"/>
    <w:rsid w:val="00852C92"/>
    <w:rsid w:val="00853294"/>
    <w:rsid w:val="00853962"/>
    <w:rsid w:val="0085474C"/>
    <w:rsid w:val="0085505D"/>
    <w:rsid w:val="008554EC"/>
    <w:rsid w:val="00856EBE"/>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7E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7C45"/>
    <w:rsid w:val="008C32DC"/>
    <w:rsid w:val="008C41F7"/>
    <w:rsid w:val="008C4E2D"/>
    <w:rsid w:val="008C5226"/>
    <w:rsid w:val="008D09A0"/>
    <w:rsid w:val="008D0FCE"/>
    <w:rsid w:val="008D1431"/>
    <w:rsid w:val="008D1C2E"/>
    <w:rsid w:val="008D1DBB"/>
    <w:rsid w:val="008D1FD2"/>
    <w:rsid w:val="008D3EBF"/>
    <w:rsid w:val="008D42F6"/>
    <w:rsid w:val="008D4309"/>
    <w:rsid w:val="008D4A54"/>
    <w:rsid w:val="008D4E4A"/>
    <w:rsid w:val="008D57E7"/>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2B23"/>
    <w:rsid w:val="00902E6C"/>
    <w:rsid w:val="00903404"/>
    <w:rsid w:val="00904330"/>
    <w:rsid w:val="00904F05"/>
    <w:rsid w:val="00907701"/>
    <w:rsid w:val="00911249"/>
    <w:rsid w:val="00912B72"/>
    <w:rsid w:val="00912DCE"/>
    <w:rsid w:val="00913659"/>
    <w:rsid w:val="00913A4E"/>
    <w:rsid w:val="0091423D"/>
    <w:rsid w:val="00916735"/>
    <w:rsid w:val="00917AE9"/>
    <w:rsid w:val="009215C2"/>
    <w:rsid w:val="009219F7"/>
    <w:rsid w:val="00922E4A"/>
    <w:rsid w:val="00924A28"/>
    <w:rsid w:val="00924B9C"/>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E55"/>
    <w:rsid w:val="00944E3B"/>
    <w:rsid w:val="00945061"/>
    <w:rsid w:val="00945142"/>
    <w:rsid w:val="009452B4"/>
    <w:rsid w:val="00945883"/>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89F"/>
    <w:rsid w:val="00983A81"/>
    <w:rsid w:val="00983F0F"/>
    <w:rsid w:val="0098467D"/>
    <w:rsid w:val="00985096"/>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5431"/>
    <w:rsid w:val="009F5FBF"/>
    <w:rsid w:val="009F65FB"/>
    <w:rsid w:val="009F6703"/>
    <w:rsid w:val="009F671B"/>
    <w:rsid w:val="009F6B67"/>
    <w:rsid w:val="009F731A"/>
    <w:rsid w:val="009F7E88"/>
    <w:rsid w:val="00A00AFA"/>
    <w:rsid w:val="00A00FE4"/>
    <w:rsid w:val="00A01EE5"/>
    <w:rsid w:val="00A0240E"/>
    <w:rsid w:val="00A02E9E"/>
    <w:rsid w:val="00A036CB"/>
    <w:rsid w:val="00A0385F"/>
    <w:rsid w:val="00A0441C"/>
    <w:rsid w:val="00A05025"/>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3CC"/>
    <w:rsid w:val="00A308B4"/>
    <w:rsid w:val="00A30C2F"/>
    <w:rsid w:val="00A313D3"/>
    <w:rsid w:val="00A34320"/>
    <w:rsid w:val="00A34569"/>
    <w:rsid w:val="00A345DE"/>
    <w:rsid w:val="00A351EE"/>
    <w:rsid w:val="00A35986"/>
    <w:rsid w:val="00A35F50"/>
    <w:rsid w:val="00A35F56"/>
    <w:rsid w:val="00A36270"/>
    <w:rsid w:val="00A36835"/>
    <w:rsid w:val="00A376B2"/>
    <w:rsid w:val="00A37AAA"/>
    <w:rsid w:val="00A4062C"/>
    <w:rsid w:val="00A4169A"/>
    <w:rsid w:val="00A419C3"/>
    <w:rsid w:val="00A41F59"/>
    <w:rsid w:val="00A4545A"/>
    <w:rsid w:val="00A47A04"/>
    <w:rsid w:val="00A500AC"/>
    <w:rsid w:val="00A53E3F"/>
    <w:rsid w:val="00A54FCA"/>
    <w:rsid w:val="00A553AB"/>
    <w:rsid w:val="00A5649E"/>
    <w:rsid w:val="00A604D1"/>
    <w:rsid w:val="00A62576"/>
    <w:rsid w:val="00A62918"/>
    <w:rsid w:val="00A64135"/>
    <w:rsid w:val="00A641F9"/>
    <w:rsid w:val="00A659AA"/>
    <w:rsid w:val="00A65A2E"/>
    <w:rsid w:val="00A65F17"/>
    <w:rsid w:val="00A66C1E"/>
    <w:rsid w:val="00A7098A"/>
    <w:rsid w:val="00A70D15"/>
    <w:rsid w:val="00A71BC3"/>
    <w:rsid w:val="00A72B32"/>
    <w:rsid w:val="00A742E9"/>
    <w:rsid w:val="00A744C8"/>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7103"/>
    <w:rsid w:val="00A90C0D"/>
    <w:rsid w:val="00A91074"/>
    <w:rsid w:val="00A91520"/>
    <w:rsid w:val="00A91913"/>
    <w:rsid w:val="00A9217B"/>
    <w:rsid w:val="00A92EE0"/>
    <w:rsid w:val="00A92F17"/>
    <w:rsid w:val="00A94581"/>
    <w:rsid w:val="00A95814"/>
    <w:rsid w:val="00A96B52"/>
    <w:rsid w:val="00AA10EF"/>
    <w:rsid w:val="00AA1A7C"/>
    <w:rsid w:val="00AA1B17"/>
    <w:rsid w:val="00AA2C71"/>
    <w:rsid w:val="00AA2C75"/>
    <w:rsid w:val="00AA5FBC"/>
    <w:rsid w:val="00AA61CE"/>
    <w:rsid w:val="00AA626D"/>
    <w:rsid w:val="00AA6FD7"/>
    <w:rsid w:val="00AA7069"/>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6894"/>
    <w:rsid w:val="00AD7172"/>
    <w:rsid w:val="00AE04BB"/>
    <w:rsid w:val="00AE0BFA"/>
    <w:rsid w:val="00AE1CD4"/>
    <w:rsid w:val="00AE1FE8"/>
    <w:rsid w:val="00AE35CC"/>
    <w:rsid w:val="00AE38BE"/>
    <w:rsid w:val="00AE40E6"/>
    <w:rsid w:val="00AE43AD"/>
    <w:rsid w:val="00AE4577"/>
    <w:rsid w:val="00AE49B8"/>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1CE4"/>
    <w:rsid w:val="00B3294F"/>
    <w:rsid w:val="00B35270"/>
    <w:rsid w:val="00B35FF4"/>
    <w:rsid w:val="00B37212"/>
    <w:rsid w:val="00B37238"/>
    <w:rsid w:val="00B3762E"/>
    <w:rsid w:val="00B40010"/>
    <w:rsid w:val="00B42126"/>
    <w:rsid w:val="00B42874"/>
    <w:rsid w:val="00B43953"/>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34F6"/>
    <w:rsid w:val="00B73AE7"/>
    <w:rsid w:val="00B76371"/>
    <w:rsid w:val="00B7741C"/>
    <w:rsid w:val="00B8181D"/>
    <w:rsid w:val="00B81D19"/>
    <w:rsid w:val="00B81D68"/>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16B"/>
    <w:rsid w:val="00C5239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1BAD"/>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24BD"/>
    <w:rsid w:val="00CA39FC"/>
    <w:rsid w:val="00CA5438"/>
    <w:rsid w:val="00CA5BE2"/>
    <w:rsid w:val="00CA5E30"/>
    <w:rsid w:val="00CA5ED0"/>
    <w:rsid w:val="00CA6614"/>
    <w:rsid w:val="00CA6804"/>
    <w:rsid w:val="00CA6E60"/>
    <w:rsid w:val="00CA7178"/>
    <w:rsid w:val="00CB1EFD"/>
    <w:rsid w:val="00CB43FA"/>
    <w:rsid w:val="00CB4842"/>
    <w:rsid w:val="00CB4BDE"/>
    <w:rsid w:val="00CB5037"/>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48A4"/>
    <w:rsid w:val="00D4577B"/>
    <w:rsid w:val="00D50319"/>
    <w:rsid w:val="00D50BA0"/>
    <w:rsid w:val="00D51206"/>
    <w:rsid w:val="00D5198A"/>
    <w:rsid w:val="00D53A47"/>
    <w:rsid w:val="00D566E4"/>
    <w:rsid w:val="00D601A6"/>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468C"/>
    <w:rsid w:val="00D84B1B"/>
    <w:rsid w:val="00D853A4"/>
    <w:rsid w:val="00D87177"/>
    <w:rsid w:val="00D87C2F"/>
    <w:rsid w:val="00D87F7B"/>
    <w:rsid w:val="00D901E5"/>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9"/>
    <w:rsid w:val="00DA2FDB"/>
    <w:rsid w:val="00DA4C9E"/>
    <w:rsid w:val="00DA55FE"/>
    <w:rsid w:val="00DA5668"/>
    <w:rsid w:val="00DA598C"/>
    <w:rsid w:val="00DA602A"/>
    <w:rsid w:val="00DA6CC7"/>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E9A"/>
    <w:rsid w:val="00E57D2C"/>
    <w:rsid w:val="00E61C9C"/>
    <w:rsid w:val="00E61CB0"/>
    <w:rsid w:val="00E622C5"/>
    <w:rsid w:val="00E6249F"/>
    <w:rsid w:val="00E638B1"/>
    <w:rsid w:val="00E649F8"/>
    <w:rsid w:val="00E64FED"/>
    <w:rsid w:val="00E65394"/>
    <w:rsid w:val="00E6577A"/>
    <w:rsid w:val="00E65A19"/>
    <w:rsid w:val="00E66A27"/>
    <w:rsid w:val="00E6786A"/>
    <w:rsid w:val="00E704C6"/>
    <w:rsid w:val="00E7190E"/>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362"/>
    <w:rsid w:val="00E85995"/>
    <w:rsid w:val="00E8645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A61"/>
    <w:rsid w:val="00EA0DA3"/>
    <w:rsid w:val="00EA1CD3"/>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AE3"/>
    <w:rsid w:val="00EC1E6E"/>
    <w:rsid w:val="00EC2183"/>
    <w:rsid w:val="00EC243B"/>
    <w:rsid w:val="00EC2FD7"/>
    <w:rsid w:val="00EC3C2A"/>
    <w:rsid w:val="00EC45D1"/>
    <w:rsid w:val="00EC609E"/>
    <w:rsid w:val="00EC6596"/>
    <w:rsid w:val="00EC76E9"/>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C4D"/>
    <w:rsid w:val="00EE57C7"/>
    <w:rsid w:val="00EE626C"/>
    <w:rsid w:val="00EE7197"/>
    <w:rsid w:val="00EE7748"/>
    <w:rsid w:val="00EF08E7"/>
    <w:rsid w:val="00EF174B"/>
    <w:rsid w:val="00EF30C7"/>
    <w:rsid w:val="00EF3E2A"/>
    <w:rsid w:val="00EF4E7B"/>
    <w:rsid w:val="00EF52BA"/>
    <w:rsid w:val="00EF6991"/>
    <w:rsid w:val="00EF7A7D"/>
    <w:rsid w:val="00EF7DA5"/>
    <w:rsid w:val="00F00BDA"/>
    <w:rsid w:val="00F00C33"/>
    <w:rsid w:val="00F01356"/>
    <w:rsid w:val="00F013BE"/>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175E3"/>
    <w:rsid w:val="00F205B5"/>
    <w:rsid w:val="00F2103C"/>
    <w:rsid w:val="00F21383"/>
    <w:rsid w:val="00F22503"/>
    <w:rsid w:val="00F2376B"/>
    <w:rsid w:val="00F23A68"/>
    <w:rsid w:val="00F245A9"/>
    <w:rsid w:val="00F24708"/>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71FC"/>
    <w:rsid w:val="00F5196F"/>
    <w:rsid w:val="00F53401"/>
    <w:rsid w:val="00F539E9"/>
    <w:rsid w:val="00F53A83"/>
    <w:rsid w:val="00F54321"/>
    <w:rsid w:val="00F54C13"/>
    <w:rsid w:val="00F54D27"/>
    <w:rsid w:val="00F55714"/>
    <w:rsid w:val="00F56137"/>
    <w:rsid w:val="00F562A9"/>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DD7"/>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2AAE"/>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2B63"/>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9D"/>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列表段落 字符"/>
    <w:aliases w:val="Lista1 字符,- Bullets 字符,列出段落 字符,?? ?? 字符,????? 字符,???? 字符,목록 단락 字符,목록 단 字符,1st level - Bullet List Paragraph 字符,List Paragraph1 字符,Lettre d'introduction 字符,Paragrafo elenco 字符,Normal bullet 2 字符,Bullet list 字符,Numbered List 字符,Task Body 字符"/>
    <w:link w:val="afd"/>
    <w:uiPriority w:val="34"/>
    <w:qFormat/>
    <w:locked/>
    <w:rsid w:val="00D87C2F"/>
  </w:style>
  <w:style w:type="paragraph" w:styleId="afd">
    <w:name w:val="List Paragraph"/>
    <w:aliases w:val="Lista1,- Bullets,列出段落,?? ??,?????,????,목록 단락,목록 단,1st level - Bullet List Paragraph,List Paragraph1,Lettre d'introduction,Paragrafo elenco,Normal bullet 2,Bullet list,Numbered List,Task Body,Viñetas (Inicio Parrafo),3 Txt tabla,リスト段落,列出段落1"/>
    <w:basedOn w:val="a"/>
    <w:link w:val="afc"/>
    <w:uiPriority w:val="34"/>
    <w:qFormat/>
    <w:rsid w:val="00D87C2F"/>
    <w:pPr>
      <w:overflowPunct/>
      <w:autoSpaceDE/>
      <w:autoSpaceDN/>
      <w:adjustRightInd/>
      <w:spacing w:after="160" w:line="256" w:lineRule="auto"/>
      <w:ind w:left="720"/>
      <w:contextualSpacing/>
      <w:textAlignment w:val="auto"/>
    </w:pPr>
    <w:rPr>
      <w:rFonts w:eastAsia="MS Mincho"/>
      <w:lang w:val="en-US" w:eastAsia="zh-CN"/>
    </w:rPr>
  </w:style>
  <w:style w:type="table" w:customStyle="1" w:styleId="14">
    <w:name w:val="网格型1"/>
    <w:basedOn w:val="a1"/>
    <w:qFormat/>
    <w:rsid w:val="008444E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qFormat/>
    <w:rsid w:val="001B7524"/>
    <w:rPr>
      <w:rFonts w:ascii="Arial" w:eastAsia="Times New Roman" w:hAnsi="Arial"/>
      <w:sz w:val="22"/>
      <w:lang w:val="zh-CN" w:eastAsia="en-US"/>
    </w:rPr>
  </w:style>
  <w:style w:type="character" w:customStyle="1" w:styleId="EQChar">
    <w:name w:val="EQ Char"/>
    <w:link w:val="EQ"/>
    <w:qFormat/>
    <w:rsid w:val="001B752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B819DF-1F4B-4904-90A7-01CCCF4B7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2</Pages>
  <Words>420</Words>
  <Characters>2394</Characters>
  <Application>Microsoft Office Word</Application>
  <DocSecurity>0</DocSecurity>
  <Lines>19</Lines>
  <Paragraphs>5</Paragraphs>
  <ScaleCrop>false</ScaleCrop>
  <Company>Spirent Communications</Company>
  <LinksUpToDate>false</LinksUpToDate>
  <CharactersWithSpaces>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OPPO-JQ</cp:lastModifiedBy>
  <cp:revision>31</cp:revision>
  <cp:lastPrinted>2019-08-07T05:09:00Z</cp:lastPrinted>
  <dcterms:created xsi:type="dcterms:W3CDTF">2023-07-21T10:04:00Z</dcterms:created>
  <dcterms:modified xsi:type="dcterms:W3CDTF">2023-08-11T12:17:00Z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